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tbl>
      <w:tblPr>
        <w:tblW w:type="dxa" w:w="9638"/>
        <w:tblBorders>
          <w:top w:color="000000" w:space="0" w:sz="2" w:val="single"/>
          <w:left w:color="000000" w:space="0" w:sz="2" w:val="single"/>
          <w:bottom w:color="000000" w:space="0" w:sz="2" w:val="single"/>
        </w:tblBorders>
        <w:jc w:val="left"/>
      </w:tblPr>
      <w:tblGrid>
        <w:gridCol w:w="2409"/>
        <w:gridCol w:w="4819"/>
        <w:gridCol w:w="7228"/>
        <w:gridCol w:w="9638"/>
      </w:tblGrid>
      <w:tr>
        <w:trPr>
          <w:cantSplit w:val="off"/>
        </w:trPr>
        <w:tc>
          <w:tcPr>
            <w:tcBorders>
              <w:top w:color="000000" w:space="0" w:sz="2" w:val="single"/>
              <w:left w:color="000000" w:space="0" w:sz="2" w:val="single"/>
              <w:bottom w:color="000000" w:space="0" w:sz="2" w:val="single"/>
            </w:tcBorders>
            <w:shd w:fill="auto"/>
            <w:tcW w:type="dxa" w:w="2409"/>
            <w:tcMar>
              <w:top w:type="dxa" w:w="55"/>
              <w:left w:type="dxa" w:w="55"/>
              <w:bottom w:type="dxa" w:w="55"/>
              <w:right w:type="dxa" w:w="55"/>
            </w:tcMar>
          </w:tcPr>
          <w:p>
            <w:pPr>
              <w:pStyle w:val="style21"/>
            </w:pPr>
            <w:r>
              <w:rPr/>
              <w:t>Время образования</w:t>
            </w:r>
          </w:p>
        </w:tc>
        <w:tc>
          <w:tcPr>
            <w:tcBorders>
              <w:top w:color="000000" w:space="0" w:sz="2" w:val="single"/>
              <w:left w:color="000000" w:space="0" w:sz="2" w:val="single"/>
              <w:bottom w:color="000000" w:space="0" w:sz="2" w:val="single"/>
            </w:tcBorders>
            <w:shd w:fill="auto"/>
            <w:tcW w:type="dxa" w:w="4819"/>
            <w:tcMar>
              <w:top w:type="dxa" w:w="55"/>
              <w:left w:type="dxa" w:w="55"/>
              <w:bottom w:type="dxa" w:w="55"/>
              <w:right w:type="dxa" w:w="55"/>
            </w:tcMar>
          </w:tcPr>
          <w:p>
            <w:pPr>
              <w:pStyle w:val="style21"/>
            </w:pPr>
            <w:r>
              <w:rPr/>
              <w:t>Лидеры</w:t>
            </w:r>
          </w:p>
        </w:tc>
        <w:tc>
          <w:tcPr>
            <w:tcBorders>
              <w:top w:color="000000" w:space="0" w:sz="2" w:val="single"/>
              <w:left w:color="000000" w:space="0" w:sz="2" w:val="single"/>
              <w:bottom w:color="000000" w:space="0" w:sz="2" w:val="single"/>
            </w:tcBorders>
            <w:shd w:fill="auto"/>
            <w:tcW w:type="dxa" w:w="7228"/>
            <w:tcMar>
              <w:top w:type="dxa" w:w="55"/>
              <w:left w:type="dxa" w:w="55"/>
              <w:bottom w:type="dxa" w:w="55"/>
              <w:right w:type="dxa" w:w="55"/>
            </w:tcMar>
          </w:tcPr>
          <w:p>
            <w:pPr>
              <w:pStyle w:val="style21"/>
            </w:pPr>
            <w:r>
              <w:rPr/>
              <w:t>Состав</w:t>
            </w:r>
          </w:p>
        </w:tc>
        <w:tc>
          <w:tcPr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color="000000" w:space="0" w:sz="2" w:val="single"/>
            </w:tcBorders>
            <w:shd w:fill="auto"/>
            <w:tcW w:type="dxa" w:w="9638"/>
            <w:tcMar>
              <w:top w:type="dxa" w:w="55"/>
              <w:left w:type="dxa" w:w="55"/>
              <w:bottom w:type="dxa" w:w="55"/>
              <w:right w:type="dxa" w:w="55"/>
            </w:tcMar>
          </w:tcPr>
          <w:p>
            <w:pPr>
              <w:pStyle w:val="style21"/>
            </w:pPr>
            <w:r>
              <w:rPr/>
              <w:t>Программа</w:t>
            </w:r>
          </w:p>
        </w:tc>
      </w:tr>
    </w:tbl>
    <w:p>
      <w:pPr>
        <w:pStyle w:val="style0"/>
      </w:pPr>
      <w:r>
        <w:rPr/>
        <w:t>Российская Социал-демократическая рабочая партия РСДРП (Большивики)</w:t>
      </w:r>
    </w:p>
    <w:tbl>
      <w:tblPr>
        <w:tblW w:type="dxa" w:w="9638"/>
        <w:tblBorders>
          <w:top w:color="000000" w:space="0" w:sz="2" w:val="single"/>
          <w:left w:color="000000" w:space="0" w:sz="2" w:val="single"/>
          <w:bottom w:color="000000" w:space="0" w:sz="2" w:val="single"/>
        </w:tblBorders>
        <w:jc w:val="left"/>
      </w:tblPr>
      <w:tblGrid>
        <w:gridCol w:w="2409"/>
        <w:gridCol w:w="4819"/>
        <w:gridCol w:w="7228"/>
        <w:gridCol w:w="9638"/>
      </w:tblGrid>
      <w:tr>
        <w:trPr>
          <w:cantSplit w:val="off"/>
        </w:trPr>
        <w:tc>
          <w:tcPr>
            <w:tcBorders>
              <w:top w:color="000000" w:space="0" w:sz="2" w:val="single"/>
              <w:left w:color="000000" w:space="0" w:sz="2" w:val="single"/>
              <w:bottom w:color="000000" w:space="0" w:sz="2" w:val="single"/>
            </w:tcBorders>
            <w:shd w:fill="auto"/>
            <w:tcW w:type="dxa" w:w="2409"/>
            <w:tcMar>
              <w:top w:type="dxa" w:w="55"/>
              <w:left w:type="dxa" w:w="55"/>
              <w:bottom w:type="dxa" w:w="55"/>
              <w:right w:type="dxa" w:w="55"/>
            </w:tcMar>
          </w:tcPr>
          <w:p>
            <w:pPr>
              <w:pStyle w:val="style21"/>
            </w:pPr>
            <w:r>
              <w:rPr/>
              <w:t>Март 1898</w:t>
            </w:r>
          </w:p>
          <w:p>
            <w:pPr>
              <w:pStyle w:val="style21"/>
            </w:pPr>
            <w:r>
              <w:rPr/>
            </w:r>
          </w:p>
        </w:tc>
        <w:tc>
          <w:tcPr>
            <w:tcBorders>
              <w:top w:color="000000" w:space="0" w:sz="2" w:val="single"/>
              <w:left w:color="000000" w:space="0" w:sz="2" w:val="single"/>
              <w:bottom w:color="000000" w:space="0" w:sz="2" w:val="single"/>
            </w:tcBorders>
            <w:shd w:fill="auto"/>
            <w:tcW w:type="dxa" w:w="4819"/>
            <w:tcMar>
              <w:top w:type="dxa" w:w="55"/>
              <w:left w:type="dxa" w:w="55"/>
              <w:bottom w:type="dxa" w:w="55"/>
              <w:right w:type="dxa" w:w="55"/>
            </w:tcMar>
          </w:tcPr>
          <w:p>
            <w:pPr>
              <w:pStyle w:val="style21"/>
            </w:pPr>
            <w:hyperlink r:id="rId2">
              <w:r>
                <w:rPr>
                  <w:color w:val="000080"/>
                  <w:i/>
                  <w:b/>
                  <w:rStyle w:val="style15"/>
                </w:rPr>
                <w:t>В.И. Ульянова (Ленина)</w:t>
              </w:r>
            </w:hyperlink>
          </w:p>
        </w:tc>
        <w:tc>
          <w:tcPr>
            <w:tcBorders>
              <w:top w:color="000000" w:space="0" w:sz="2" w:val="single"/>
              <w:left w:color="000000" w:space="0" w:sz="2" w:val="single"/>
              <w:bottom w:color="000000" w:space="0" w:sz="2" w:val="single"/>
            </w:tcBorders>
            <w:shd w:fill="auto"/>
            <w:tcW w:type="dxa" w:w="7228"/>
            <w:tcMar>
              <w:top w:type="dxa" w:w="55"/>
              <w:left w:type="dxa" w:w="55"/>
              <w:bottom w:type="dxa" w:w="55"/>
              <w:right w:type="dxa" w:w="55"/>
            </w:tcMar>
          </w:tcPr>
          <w:p>
            <w:pPr>
              <w:pStyle w:val="style22"/>
            </w:pPr>
            <w:r>
              <w:rPr/>
              <w:t xml:space="preserve"> </w:t>
            </w:r>
            <w:r>
              <w:rPr/>
              <w:t>Г.М.  Кржижановский,</w:t>
            </w:r>
          </w:p>
          <w:p>
            <w:pPr>
              <w:pStyle w:val="style22"/>
              <w:spacing w:after="283" w:before="0"/>
            </w:pPr>
            <w:r>
              <w:rPr/>
              <w:t>Л.Б. Красин, В.А. Носков, А.А. Богданов, А.В. Луначарский и др</w:t>
            </w:r>
          </w:p>
          <w:p>
            <w:pPr>
              <w:pStyle w:val="style21"/>
            </w:pPr>
            <w:r>
              <w:rPr/>
            </w:r>
          </w:p>
        </w:tc>
        <w:tc>
          <w:tcPr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color="000000" w:space="0" w:sz="2" w:val="single"/>
            </w:tcBorders>
            <w:shd w:fill="auto"/>
            <w:tcW w:type="dxa" w:w="9638"/>
            <w:tcMar>
              <w:top w:type="dxa" w:w="55"/>
              <w:left w:type="dxa" w:w="55"/>
              <w:bottom w:type="dxa" w:w="55"/>
              <w:right w:type="dxa" w:w="55"/>
            </w:tcMar>
          </w:tcPr>
          <w:p>
            <w:pPr>
              <w:pStyle w:val="style21"/>
            </w:pPr>
            <w:r>
              <w:rPr/>
              <w:t>Она состояла из двух частей: программы - минимум и программы - максимум. Программа-минимум ставила перед партией задачи на этапе буржуазно-демократической революции: в сфере политических преобразований — свержение самодержавия, установление демократической республики, установление 8-часового рабочего дня, возвращение крестьянам ранее принадлежавшей им земли и отмена выкупных платежей. Программа-максимум определяла дальнейшее развитие революционного процесса — установление диктатуры пролетариата. Принятие этой программы было знаменательной и серьезной победой В.И.  Ленина и его сторонников.</w:t>
            </w:r>
          </w:p>
        </w:tc>
      </w:tr>
    </w:tbl>
    <w:p>
      <w:pPr>
        <w:pStyle w:val="style0"/>
      </w:pPr>
      <w:r>
        <w:rPr/>
        <w:t>Российская Социал-демократическая рабочая партия РСДРП (Меньшивики)</w:t>
      </w:r>
    </w:p>
    <w:tbl>
      <w:tblPr>
        <w:tblW w:type="dxa" w:w="9638"/>
        <w:tblBorders>
          <w:top w:color="000000" w:space="0" w:sz="2" w:val="single"/>
          <w:left w:color="000000" w:space="0" w:sz="2" w:val="single"/>
          <w:bottom w:color="000000" w:space="0" w:sz="2" w:val="single"/>
        </w:tblBorders>
        <w:jc w:val="left"/>
      </w:tblPr>
      <w:tblGrid>
        <w:gridCol w:w="2409"/>
        <w:gridCol w:w="4819"/>
        <w:gridCol w:w="7228"/>
        <w:gridCol w:w="9638"/>
      </w:tblGrid>
      <w:tr>
        <w:trPr>
          <w:cantSplit w:val="off"/>
        </w:trPr>
        <w:tc>
          <w:tcPr>
            <w:tcBorders>
              <w:top w:color="000000" w:space="0" w:sz="2" w:val="single"/>
              <w:left w:color="000000" w:space="0" w:sz="2" w:val="single"/>
              <w:bottom w:color="000000" w:space="0" w:sz="2" w:val="single"/>
            </w:tcBorders>
            <w:shd w:fill="auto"/>
            <w:tcW w:type="dxa" w:w="2409"/>
            <w:tcMar>
              <w:top w:type="dxa" w:w="55"/>
              <w:left w:type="dxa" w:w="55"/>
              <w:bottom w:type="dxa" w:w="55"/>
              <w:right w:type="dxa" w:w="55"/>
            </w:tcMar>
          </w:tcPr>
          <w:p>
            <w:pPr>
              <w:pStyle w:val="style21"/>
            </w:pPr>
            <w:r>
              <w:rPr/>
              <w:t>01.03.98</w:t>
            </w:r>
          </w:p>
        </w:tc>
        <w:tc>
          <w:tcPr>
            <w:tcBorders>
              <w:top w:color="000000" w:space="0" w:sz="2" w:val="single"/>
              <w:left w:color="000000" w:space="0" w:sz="2" w:val="single"/>
              <w:bottom w:color="000000" w:space="0" w:sz="2" w:val="single"/>
            </w:tcBorders>
            <w:shd w:fill="auto"/>
            <w:tcW w:type="dxa" w:w="4819"/>
            <w:tcMar>
              <w:top w:type="dxa" w:w="55"/>
              <w:left w:type="dxa" w:w="55"/>
              <w:bottom w:type="dxa" w:w="55"/>
              <w:right w:type="dxa" w:w="55"/>
            </w:tcMar>
          </w:tcPr>
          <w:p>
            <w:pPr>
              <w:pStyle w:val="style21"/>
            </w:pPr>
            <w:r>
              <w:rPr/>
              <w:t>Л. Мартов</w:t>
            </w:r>
          </w:p>
        </w:tc>
        <w:tc>
          <w:tcPr>
            <w:tcBorders>
              <w:top w:color="000000" w:space="0" w:sz="2" w:val="single"/>
              <w:left w:color="000000" w:space="0" w:sz="2" w:val="single"/>
              <w:bottom w:color="000000" w:space="0" w:sz="2" w:val="single"/>
            </w:tcBorders>
            <w:shd w:fill="auto"/>
            <w:tcW w:type="dxa" w:w="7228"/>
            <w:tcMar>
              <w:top w:type="dxa" w:w="55"/>
              <w:left w:type="dxa" w:w="55"/>
              <w:bottom w:type="dxa" w:w="55"/>
              <w:right w:type="dxa" w:w="55"/>
            </w:tcMar>
          </w:tcPr>
          <w:p>
            <w:pPr>
              <w:pStyle w:val="style21"/>
            </w:pPr>
            <w:r>
              <w:rPr/>
              <w:t xml:space="preserve">Л. Мартов, А.С. </w:t>
            </w:r>
            <w:hyperlink r:id="rId3">
              <w:r>
                <w:rPr>
                  <w:rStyle w:val="style15"/>
                </w:rPr>
                <w:t>Мартынов</w:t>
              </w:r>
            </w:hyperlink>
            <w:r>
              <w:rPr/>
              <w:t xml:space="preserve">, П.Б. </w:t>
            </w:r>
            <w:hyperlink r:id="rId4">
              <w:r>
                <w:rPr>
                  <w:rStyle w:val="style15"/>
                </w:rPr>
                <w:t>Аксельрод</w:t>
              </w:r>
            </w:hyperlink>
            <w:r>
              <w:rPr/>
              <w:t>, Г.В. Плеханов</w:t>
            </w:r>
          </w:p>
        </w:tc>
        <w:tc>
          <w:tcPr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color="000000" w:space="0" w:sz="2" w:val="single"/>
            </w:tcBorders>
            <w:shd w:fill="auto"/>
            <w:tcW w:type="dxa" w:w="9638"/>
            <w:tcMar>
              <w:top w:type="dxa" w:w="55"/>
              <w:left w:type="dxa" w:w="55"/>
              <w:bottom w:type="dxa" w:w="55"/>
              <w:right w:type="dxa" w:w="55"/>
            </w:tcMar>
          </w:tcPr>
          <w:p>
            <w:pPr>
              <w:pStyle w:val="style17"/>
            </w:pPr>
            <w:r>
              <w:rPr>
                <w:sz w:val="20"/>
                <w:szCs w:val="20"/>
              </w:rPr>
              <w:t>Согласно программе, принятой на II съезде РСДРП в 1903 г., обе фракции Российской социал-демократической рабочей партии ставили своей целью революционный переход от капитализма к социализму, что позволило бы, по их мнению, обеспечить благосостояние и всестороннее развитие всех членов общества, уничтожить его деление на классы и ликвидировать эксплуатацию человека человеком. Предполагалось, что при социализме все люди будут иметь равные возможности и права, трудиться в меру своих способностей и получать за этот труд в соответствии с его количеством и степенью сложности. Путь к социализму должен был начинаться с пролетарской революции и установления диктатуры пролетариата – самого организованного, связанного с крупным машинным производством и разделяющего основные социалистические принципы класса общества, призванного через свою марксистскую партию осуществлять управление государством в течение всего переходного периода от капитализма к новому общественному строю. Диктаторская форма пролетарской власти объяснялась необходимостью подавить сопротивление уходящих с исторической арены эксплуататорских классов, причем масштабы бы применяемого для этого насилия и меру возможного ограничения демократических свобод граждан марксисты представляли себе тогда достаточно смутно. Считалось, однако, что предварительным условием установления диктатуры пролетариата является превращение его в большинство населения данной страны.</w:t>
            </w:r>
          </w:p>
          <w:p>
            <w:pPr>
              <w:pStyle w:val="style17"/>
            </w:pPr>
            <w:r>
              <w:rPr>
                <w:sz w:val="20"/>
                <w:szCs w:val="20"/>
              </w:rPr>
              <w:t>Пролетарская революция мыслилась при этом как явление мирового масштаба. Маркс, Энгельс, а затем и теоретики II Интернационала полагали, что она произойдет с небольшими интервалами во всех развитых европейских государствах и США, а затем распространится на более отсталые и колониальные страны. При этом победа социалистической революции и тем более утверждение социализма как новой хозяйственной системы в одной стране, например в России, считались тогда невозможными.</w:t>
            </w:r>
          </w:p>
          <w:p>
            <w:pPr>
              <w:pStyle w:val="style17"/>
            </w:pPr>
            <w:r>
              <w:rPr>
                <w:sz w:val="20"/>
                <w:szCs w:val="20"/>
              </w:rPr>
              <w:t>Однако прежде чем решать задачи, входившие в программу-максимум РСДРП, социал-демократам необходимо было выполнить программу-минимум: добиться установления в России демократической республики и покончить со всеми остатками крепостничества. Предстояло передать помещичью землю крестьянам (сначала речь шла только о так называемых “отрезках”, т.е. о землях, отобранных у крестьян помещиками по условиям реформы 1861 г., а после начала революции 1905–1907 гг., – уже о всех помещичьих имениях, а также о землях, принадлежавших казне, царской семье и монастырям), ликвидировать национальный гнет и предоставить всем народам право самим решать свою дальнейшую судьбу (право на самоопределение молчаливо предполагало и возможность их отделения от России). Социал-демократы обещали также коренным образом улучшить положение рабочих: ввести 8-часовой рабочий день, государственное страхование по болезни и старости, ликвидировать систему штрафов и т.д. Все граждане России должны были обрести свободу слова, собраний и союзов.</w:t>
            </w:r>
          </w:p>
          <w:p>
            <w:pPr>
              <w:pStyle w:val="style21"/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style0"/>
      </w:pPr>
      <w:r>
        <w:rPr/>
        <w:t>Конституционно демократическая партия (Кадеты)</w:t>
      </w:r>
    </w:p>
    <w:tbl>
      <w:tblPr>
        <w:tblW w:type="dxa" w:w="9638"/>
        <w:tblBorders>
          <w:top w:color="000000" w:space="0" w:sz="2" w:val="single"/>
          <w:left w:color="000000" w:space="0" w:sz="2" w:val="single"/>
          <w:bottom w:color="000000" w:space="0" w:sz="2" w:val="single"/>
        </w:tblBorders>
        <w:jc w:val="left"/>
      </w:tblPr>
      <w:tblGrid>
        <w:gridCol w:w="2409"/>
        <w:gridCol w:w="4819"/>
        <w:gridCol w:w="7228"/>
        <w:gridCol w:w="9638"/>
      </w:tblGrid>
      <w:tr>
        <w:trPr>
          <w:cantSplit w:val="off"/>
        </w:trPr>
        <w:tc>
          <w:tcPr>
            <w:tcBorders>
              <w:top w:color="000000" w:space="0" w:sz="2" w:val="single"/>
              <w:left w:color="000000" w:space="0" w:sz="2" w:val="single"/>
              <w:bottom w:color="000000" w:space="0" w:sz="2" w:val="single"/>
            </w:tcBorders>
            <w:shd w:fill="auto"/>
            <w:tcW w:type="dxa" w:w="2409"/>
            <w:tcMar>
              <w:top w:type="dxa" w:w="55"/>
              <w:left w:type="dxa" w:w="55"/>
              <w:bottom w:type="dxa" w:w="55"/>
              <w:right w:type="dxa" w:w="55"/>
            </w:tcMar>
          </w:tcPr>
          <w:p>
            <w:pPr>
              <w:pStyle w:val="style21"/>
            </w:pPr>
            <w:r>
              <w:rPr/>
              <w:t>Октябрь 1905</w:t>
            </w:r>
          </w:p>
          <w:p>
            <w:pPr>
              <w:pStyle w:val="style21"/>
            </w:pPr>
            <w:r>
              <w:rPr/>
            </w:r>
          </w:p>
        </w:tc>
        <w:tc>
          <w:tcPr>
            <w:tcBorders>
              <w:top w:color="000000" w:space="0" w:sz="2" w:val="single"/>
              <w:left w:color="000000" w:space="0" w:sz="2" w:val="single"/>
              <w:bottom w:color="000000" w:space="0" w:sz="2" w:val="single"/>
            </w:tcBorders>
            <w:shd w:fill="auto"/>
            <w:tcW w:type="dxa" w:w="4819"/>
            <w:tcMar>
              <w:top w:type="dxa" w:w="55"/>
              <w:left w:type="dxa" w:w="55"/>
              <w:bottom w:type="dxa" w:w="55"/>
              <w:right w:type="dxa" w:w="55"/>
            </w:tcMar>
          </w:tcPr>
          <w:p>
            <w:pPr>
              <w:pStyle w:val="style21"/>
            </w:pPr>
            <w:r>
              <w:rPr/>
              <w:t>Петр и Павел Долгоруковы</w:t>
            </w:r>
          </w:p>
        </w:tc>
        <w:tc>
          <w:tcPr>
            <w:tcBorders>
              <w:top w:color="000000" w:space="0" w:sz="2" w:val="single"/>
              <w:left w:color="000000" w:space="0" w:sz="2" w:val="single"/>
              <w:bottom w:color="000000" w:space="0" w:sz="2" w:val="single"/>
            </w:tcBorders>
            <w:shd w:fill="auto"/>
            <w:tcW w:type="dxa" w:w="7228"/>
            <w:tcMar>
              <w:top w:type="dxa" w:w="55"/>
              <w:left w:type="dxa" w:w="55"/>
              <w:bottom w:type="dxa" w:w="55"/>
              <w:right w:type="dxa" w:w="55"/>
            </w:tcMar>
          </w:tcPr>
          <w:p>
            <w:pPr>
              <w:pStyle w:val="style21"/>
            </w:pPr>
            <w:r>
              <w:rPr/>
              <w:t>Петр и Павел Долгоруковы,князь Д. И Шаховский, академик В.И Вернадский, профессора  С.А  Муромцев, В.М Гессен, Л.И Петражевский, А.А Струев и др.</w:t>
            </w:r>
          </w:p>
        </w:tc>
        <w:tc>
          <w:tcPr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color="000000" w:space="0" w:sz="2" w:val="single"/>
            </w:tcBorders>
            <w:shd w:fill="auto"/>
            <w:tcW w:type="dxa" w:w="9638"/>
            <w:tcMar>
              <w:top w:type="dxa" w:w="55"/>
              <w:left w:type="dxa" w:w="55"/>
              <w:bottom w:type="dxa" w:w="55"/>
              <w:right w:type="dxa" w:w="55"/>
            </w:tcMar>
          </w:tcPr>
          <w:p>
            <w:pPr>
              <w:pStyle w:val="style17"/>
              <w:jc w:val="both"/>
              <w:ind w:hanging="0" w:left="0" w:right="0"/>
              <w:pBdr/>
            </w:pPr>
            <w:r>
              <w:rPr/>
              <w:t xml:space="preserve">. </w:t>
            </w:r>
            <w:r>
              <w:rPr>
                <w:sz w:val="20"/>
                <w:szCs w:val="20"/>
              </w:rPr>
              <w:t>Основные права граждан</w:t>
            </w:r>
          </w:p>
          <w:p>
            <w:pPr>
              <w:pStyle w:val="style17"/>
              <w:jc w:val="both"/>
              <w:ind w:hanging="0" w:left="0" w:right="0"/>
              <w:pBdr/>
            </w:pPr>
            <w:r>
              <w:rPr>
                <w:sz w:val="20"/>
                <w:szCs w:val="20"/>
              </w:rPr>
              <w:t>1. Все российские граждане без различия пола, вероисповедания и национальности равны перед законом. Всякие сословные различия и всякие ограничения личных и имущественных прав поляков, евреев и всех без исключения других отдельных групп населения должны быть отменены.</w:t>
            </w:r>
          </w:p>
          <w:p>
            <w:pPr>
              <w:pStyle w:val="style17"/>
              <w:jc w:val="both"/>
              <w:ind w:hanging="0" w:left="0" w:right="0"/>
              <w:pBdr/>
            </w:pPr>
            <w:r>
              <w:rPr>
                <w:sz w:val="20"/>
                <w:szCs w:val="20"/>
              </w:rPr>
              <w:t>2. Каждому гражданину обеспечивается свобода совести и вероисповедания. Никакие преследования за исповедуемые верования и убеждения, за перемену или отказ от вероучения не допускаются. Отправление религиозных и богослужебных обрядов и распространение вероучений свободно, если только совершаемые при этом действия не заключают в себе каких-либо общих проступков, предусмотренных уголовными законами. Православная церковь и другие исповедания должны быть освобождены от государственной опеки.</w:t>
            </w:r>
          </w:p>
          <w:p>
            <w:pPr>
              <w:pStyle w:val="style17"/>
              <w:jc w:val="both"/>
              <w:ind w:hanging="0" w:left="0" w:right="0"/>
              <w:pBdr/>
            </w:pPr>
            <w:r>
              <w:rPr>
                <w:sz w:val="20"/>
                <w:szCs w:val="20"/>
              </w:rPr>
              <w:t>3. Каждый волен высказывать изустно и письменно свои мысли, а равно обнародовать их и распространять путем печати или иным способом. Цензура, как общая, так и специальная, как бы она ни называлась, упраздняется и не может быть восстановлена. За преступления и проступки, совершенные путем устного и печатного слова, виновные отвечают только перед судом.</w:t>
            </w:r>
          </w:p>
          <w:p>
            <w:pPr>
              <w:pStyle w:val="style17"/>
              <w:jc w:val="both"/>
              <w:ind w:hanging="0" w:left="0" w:right="0"/>
              <w:pBdr/>
            </w:pPr>
            <w:r>
              <w:rPr>
                <w:sz w:val="20"/>
                <w:szCs w:val="20"/>
              </w:rPr>
              <w:t>4. Всем российским гражданам предоставляется право устраивать публичные собрания как в закрытых помещениях, так и под открытым небом для обсуждения всякого рода вопросов.</w:t>
            </w:r>
          </w:p>
          <w:p>
            <w:pPr>
              <w:pStyle w:val="style17"/>
              <w:jc w:val="both"/>
              <w:ind w:hanging="0" w:left="0" w:right="0"/>
              <w:pBdr/>
            </w:pPr>
            <w:r>
              <w:rPr>
                <w:sz w:val="20"/>
                <w:szCs w:val="20"/>
              </w:rPr>
              <w:t>5. Все российские граждане имеют право составлять союзы и общества, не испрашивая на то разрешения.</w:t>
            </w:r>
          </w:p>
          <w:p>
            <w:pPr>
              <w:pStyle w:val="style17"/>
              <w:jc w:val="both"/>
              <w:ind w:hanging="0" w:left="0" w:right="0"/>
              <w:pBdr/>
            </w:pPr>
            <w:r>
              <w:rPr>
                <w:sz w:val="20"/>
                <w:szCs w:val="20"/>
              </w:rPr>
              <w:t>6. Право петиций предоставляется как отдельным гражданам, так и всякого рода группам, союзам, собраниям и т. п.</w:t>
            </w:r>
          </w:p>
          <w:p>
            <w:pPr>
              <w:pStyle w:val="style17"/>
              <w:jc w:val="both"/>
              <w:ind w:hanging="0" w:left="0" w:right="0"/>
              <w:pBdr/>
            </w:pPr>
            <w:r>
              <w:rPr>
                <w:sz w:val="20"/>
                <w:szCs w:val="20"/>
              </w:rPr>
              <w:t>7. Личность и жилище каждого должны быть неприкосновенны. Вход в частное жилище, обыск, выемка в нем и вскрытие частной переписки допускаются только в случаях, установленных законом, и не иначе как по постановлению суда. Всякое задержанное лицо в городах и других местах пребывания судебной власти в течение 24 часов, а в прочих местностях империи не позднее, как в течение 3 суток со времени задержания, должно быть освобождено или представлено судебной власти. Всякое задержание, произведенное без достаточного основания или продолженное сверх законного срока, дает право пострадавшему на возмещение государством понесенных -им убытков.</w:t>
            </w:r>
          </w:p>
          <w:p>
            <w:pPr>
              <w:pStyle w:val="style17"/>
              <w:jc w:val="both"/>
              <w:ind w:hanging="0" w:left="0" w:right="0"/>
              <w:pBdr/>
            </w:pPr>
            <w:r>
              <w:rPr>
                <w:sz w:val="20"/>
                <w:szCs w:val="20"/>
              </w:rPr>
              <w:t>8. Никто не может быть подвергнут преследованию иначе, как на основании закона— судебной властью и установленным законом судом. Никакие чрезвычайные суды не допускаются.</w:t>
            </w:r>
          </w:p>
          <w:p>
            <w:pPr>
              <w:pStyle w:val="style17"/>
              <w:jc w:val="both"/>
              <w:ind w:hanging="0" w:left="0" w:right="0"/>
              <w:pBdr/>
            </w:pPr>
            <w:r>
              <w:rPr>
                <w:sz w:val="20"/>
                <w:szCs w:val="20"/>
              </w:rPr>
              <w:t>9. Каждый гражданин пользуется свободой передвижения и выезда за границу. Паспортная система упраздняется.</w:t>
            </w:r>
          </w:p>
          <w:p>
            <w:pPr>
              <w:pStyle w:val="style17"/>
              <w:jc w:val="both"/>
              <w:ind w:hanging="0" w:left="0" w:right="0"/>
              <w:pBdr/>
            </w:pPr>
            <w:r>
              <w:rPr>
                <w:sz w:val="20"/>
                <w:szCs w:val="20"/>
              </w:rPr>
              <w:t>10. Все вышеозначенные права граждан должны быть введены в основной закон Российской империи и обеспечены судебной защитой.</w:t>
            </w:r>
          </w:p>
          <w:p>
            <w:pPr>
              <w:pStyle w:val="style17"/>
              <w:jc w:val="both"/>
              <w:ind w:hanging="0" w:left="0" w:right="0"/>
              <w:pBdr/>
            </w:pPr>
            <w:r>
              <w:rPr>
                <w:sz w:val="20"/>
                <w:szCs w:val="20"/>
              </w:rPr>
              <w:t>11. Основной закон Российской империи должен гарантировать всем населяющим империю народностям помимо полной гражданской и политической равноправности всех граждан право свободного культурного самоопределения, как-то: полную свободу употребления различных языков и наречий в публичной жизни, свободу основания и содержания учебных заведений и всякого рода собраний, союзов и учреждений, имеющих целью сохранение и развитие языка, литературы и культуры каждой народности и т. п.</w:t>
            </w:r>
          </w:p>
          <w:p>
            <w:pPr>
              <w:pStyle w:val="style17"/>
              <w:jc w:val="both"/>
              <w:ind w:hanging="0" w:left="0" w:right="0"/>
              <w:pBdr/>
            </w:pPr>
            <w:r>
              <w:rPr>
                <w:sz w:val="20"/>
                <w:szCs w:val="20"/>
              </w:rPr>
              <w:t>12. Русский язык должен быть языком центральных учреждений, армии и флота. Употребление наряду с общегосударственным местных языков в государственных и общественных установлениях и учебных заведениях, содержимых на средства государства или органов самоуправления, регулируется общими и местными законами, а в пределах их — самими установлениями. Населению каждой местности должно быть обеспечено получение начального, а по возможности и дальнейшего образования на родном языке.</w:t>
            </w:r>
          </w:p>
          <w:p>
            <w:pPr>
              <w:pStyle w:val="style17"/>
              <w:jc w:val="both"/>
              <w:ind w:hanging="0" w:left="0" w:right="0"/>
              <w:pBdr/>
            </w:pPr>
            <w:r>
              <w:rPr>
                <w:sz w:val="20"/>
                <w:szCs w:val="20"/>
              </w:rPr>
              <w:t>II. Государственный строй</w:t>
            </w:r>
          </w:p>
          <w:p>
            <w:pPr>
              <w:pStyle w:val="style17"/>
              <w:jc w:val="both"/>
              <w:ind w:hanging="0" w:left="0" w:right="0"/>
              <w:pBdr/>
            </w:pPr>
            <w:r>
              <w:rPr>
                <w:sz w:val="20"/>
                <w:szCs w:val="20"/>
              </w:rPr>
              <w:t>13. Конституционное устройство Российского государства определяется основным законом.</w:t>
            </w:r>
          </w:p>
          <w:p>
            <w:pPr>
              <w:pStyle w:val="style17"/>
              <w:jc w:val="both"/>
              <w:ind w:hanging="0" w:left="0" w:right="0"/>
              <w:pBdr/>
            </w:pPr>
            <w:r>
              <w:rPr>
                <w:sz w:val="20"/>
                <w:szCs w:val="20"/>
              </w:rPr>
              <w:t>14. Народные представители избираются всеобщей, равной, прямой и тайной подачей голосов без различия вероисповедания, национальности и пола.</w:t>
              <w:br/>
              <w:t>Партия допускает в своей среде различие мнений по вопросу об организации народного представительства в виде одной или двух палат, из которых вторая палата должна состоять из представителей от органов местного самоуправления, реорганизованных на началах всеобщего голосования и распространенных на всю Россию.</w:t>
            </w:r>
          </w:p>
          <w:p>
            <w:pPr>
              <w:pStyle w:val="style17"/>
              <w:jc w:val="both"/>
              <w:ind w:hanging="0" w:left="0" w:right="0"/>
              <w:pBdr/>
            </w:pPr>
            <w:r>
              <w:rPr>
                <w:sz w:val="20"/>
                <w:szCs w:val="20"/>
              </w:rPr>
              <w:t>15. Народное представительство участвует в осуществлении законодательной власти, в установлении государственной росписи доходов и расходов и в контроле за законностью и целесообразностью действий высшей и низшей администрации.</w:t>
            </w:r>
          </w:p>
          <w:p>
            <w:pPr>
              <w:pStyle w:val="style17"/>
              <w:jc w:val="both"/>
              <w:ind w:hanging="0" w:left="0" w:right="0"/>
              <w:pBdr/>
            </w:pPr>
            <w:r>
              <w:rPr>
                <w:sz w:val="20"/>
                <w:szCs w:val="20"/>
              </w:rPr>
              <w:t>16. Ни одно постановление, распоряжение, указ, приказ и тому подобный акт, не основанный на постановлении народного представительства, как бы он ни назывался и от кого бы ни исходил, не может иметь силы закона.</w:t>
            </w:r>
          </w:p>
          <w:p>
            <w:pPr>
              <w:pStyle w:val="style17"/>
              <w:jc w:val="both"/>
              <w:ind w:hanging="0" w:left="0" w:right="0"/>
              <w:pBdr/>
            </w:pPr>
            <w:r>
              <w:rPr>
                <w:sz w:val="20"/>
                <w:szCs w:val="20"/>
              </w:rPr>
              <w:t>17. Государственная роспись, в которую должны быть вносимы все доходы и расходы государства, устанавливается не более как на один год законодательным порядком. Никакие налоги, пошлины и сборы в пользу государства, а равно и государственные займы не могут быть устанавливаемы иначе, как в законодательном порядке.</w:t>
            </w:r>
          </w:p>
          <w:p>
            <w:pPr>
              <w:pStyle w:val="style17"/>
              <w:jc w:val="both"/>
              <w:ind w:hanging="0" w:left="0" w:right="0"/>
              <w:pBdr/>
            </w:pPr>
            <w:r>
              <w:rPr>
                <w:sz w:val="20"/>
                <w:szCs w:val="20"/>
              </w:rPr>
              <w:t>18. Членам собрания народных представителей принадлежит право законодательной инициативы.</w:t>
            </w:r>
          </w:p>
          <w:p>
            <w:pPr>
              <w:pStyle w:val="style17"/>
              <w:jc w:val="both"/>
              <w:ind w:hanging="0" w:left="0" w:right="0"/>
              <w:pBdr/>
            </w:pPr>
            <w:r>
              <w:rPr>
                <w:sz w:val="20"/>
                <w:szCs w:val="20"/>
              </w:rPr>
              <w:t>19. Министры ответственны перед собранием народных представителей, членам которого принадлежит право запроса и интерпелляции.</w:t>
            </w:r>
          </w:p>
          <w:p>
            <w:pPr>
              <w:pStyle w:val="style17"/>
              <w:jc w:val="both"/>
              <w:ind w:hanging="0" w:left="0" w:right="0"/>
              <w:pBdr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требований уголовной политики и процесса: а) смертная казнь отменяется безусловно и навсегда; б) вводится условное осуждение; в) устанавливается защита на предварительном следствии; г) в обряд предания суду вводится состязательное начало.</w:t>
            </w:r>
          </w:p>
          <w:p>
            <w:pPr>
              <w:pStyle w:val="style17"/>
              <w:jc w:val="both"/>
              <w:ind w:hanging="0" w:left="0" w:right="0"/>
              <w:pBdr/>
            </w:pPr>
            <w:r>
              <w:rPr>
                <w:sz w:val="20"/>
                <w:szCs w:val="20"/>
              </w:rPr>
              <w:t>29. Ближайшей задачей является полный пересмотр уголовного уложения, отмена постановлений, противоречащих началам политической свободы и переработка проекта гражданского уложения.</w:t>
            </w:r>
          </w:p>
          <w:p>
            <w:pPr>
              <w:pStyle w:val="style17"/>
              <w:jc w:val="both"/>
              <w:ind w:hanging="0" w:left="0" w:right="0"/>
              <w:pBdr/>
              <w:spacing w:after="120" w:before="0"/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style0"/>
      </w:pPr>
      <w:r>
        <w:rPr/>
        <w:t>Партия Союз 17(семнадцатого) Октября (Октябристы)</w:t>
      </w:r>
    </w:p>
    <w:tbl>
      <w:tblPr>
        <w:tblW w:type="dxa" w:w="9638"/>
        <w:tblBorders>
          <w:top w:color="000000" w:space="0" w:sz="2" w:val="single"/>
          <w:left w:color="000000" w:space="0" w:sz="2" w:val="single"/>
          <w:bottom w:color="000000" w:space="0" w:sz="2" w:val="single"/>
        </w:tblBorders>
        <w:jc w:val="left"/>
      </w:tblPr>
      <w:tblGrid>
        <w:gridCol w:w="2409"/>
        <w:gridCol w:w="4819"/>
        <w:gridCol w:w="7228"/>
        <w:gridCol w:w="9638"/>
      </w:tblGrid>
      <w:tr>
        <w:trPr>
          <w:cantSplit w:val="off"/>
        </w:trPr>
        <w:tc>
          <w:tcPr>
            <w:tcBorders>
              <w:top w:color="000000" w:space="0" w:sz="2" w:val="single"/>
              <w:left w:color="000000" w:space="0" w:sz="2" w:val="single"/>
              <w:bottom w:color="000000" w:space="0" w:sz="2" w:val="single"/>
            </w:tcBorders>
            <w:shd w:fill="auto"/>
            <w:tcW w:type="dxa" w:w="2409"/>
            <w:tcMar>
              <w:top w:type="dxa" w:w="55"/>
              <w:left w:type="dxa" w:w="55"/>
              <w:bottom w:type="dxa" w:w="55"/>
              <w:right w:type="dxa" w:w="55"/>
            </w:tcMar>
          </w:tcPr>
          <w:p>
            <w:pPr>
              <w:pStyle w:val="style21"/>
            </w:pPr>
            <w:r>
              <w:rPr/>
              <w:t>Октябрь 1905</w:t>
            </w:r>
          </w:p>
          <w:p>
            <w:pPr>
              <w:pStyle w:val="style21"/>
            </w:pPr>
            <w:r>
              <w:rPr/>
            </w:r>
          </w:p>
        </w:tc>
        <w:tc>
          <w:tcPr>
            <w:tcBorders>
              <w:top w:color="000000" w:space="0" w:sz="2" w:val="single"/>
              <w:left w:color="000000" w:space="0" w:sz="2" w:val="single"/>
              <w:bottom w:color="000000" w:space="0" w:sz="2" w:val="single"/>
            </w:tcBorders>
            <w:shd w:fill="auto"/>
            <w:tcW w:type="dxa" w:w="4819"/>
            <w:tcMar>
              <w:top w:type="dxa" w:w="55"/>
              <w:left w:type="dxa" w:w="55"/>
              <w:bottom w:type="dxa" w:w="55"/>
              <w:right w:type="dxa" w:w="55"/>
            </w:tcMar>
          </w:tcPr>
          <w:p>
            <w:pPr>
              <w:pStyle w:val="style21"/>
            </w:pPr>
            <w:r>
              <w:rPr/>
              <w:t>А.И Гучков</w:t>
            </w:r>
          </w:p>
        </w:tc>
        <w:tc>
          <w:tcPr>
            <w:tcBorders>
              <w:top w:color="000000" w:space="0" w:sz="2" w:val="single"/>
              <w:left w:color="000000" w:space="0" w:sz="2" w:val="single"/>
              <w:bottom w:color="000000" w:space="0" w:sz="2" w:val="single"/>
            </w:tcBorders>
            <w:shd w:fill="auto"/>
            <w:tcW w:type="dxa" w:w="7228"/>
            <w:tcMar>
              <w:top w:type="dxa" w:w="55"/>
              <w:left w:type="dxa" w:w="55"/>
              <w:bottom w:type="dxa" w:w="55"/>
              <w:right w:type="dxa" w:w="55"/>
            </w:tcMar>
          </w:tcPr>
          <w:p>
            <w:pPr>
              <w:pStyle w:val="style21"/>
            </w:pPr>
            <w:r>
              <w:rPr/>
              <w:t xml:space="preserve">Д.Н.Шипов , братья А.И., Н.И. и Ф.И. Гучковы, граф П.А.Гейден, М.А.Стахович, князь Н.С.Волконский; столичные профессора, адвокаты, деятели науки и культуры – Л.Н.Бенуа, В.И.Герье, Г.Е.Грум-Гржимайло, П.П.Марсеру, Ф.Н.Плевако, В.И.Сергеевич, Н.С.Таганцев; издатели и журналисты – Н.Н.Перцов, А.А.Столыпин, Б.А.Суворин; крупнейшие представители торгово-промышленного мира и банковских кругов – Н.С.Авдаков, А.Ф.Мухин, Э.Л.Нобель, братья В.П. и П.П. Рябушинские, Я.И.Утин; деятели других профессий, – в частности глава известнейшей ювелирной фирмы К.Г.Феберже. </w:t>
            </w:r>
          </w:p>
        </w:tc>
        <w:tc>
          <w:tcPr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color="000000" w:space="0" w:sz="2" w:val="single"/>
            </w:tcBorders>
            <w:shd w:fill="auto"/>
            <w:tcW w:type="dxa" w:w="9638"/>
            <w:tcMar>
              <w:top w:type="dxa" w:w="55"/>
              <w:left w:type="dxa" w:w="55"/>
              <w:bottom w:type="dxa" w:w="55"/>
              <w:right w:type="dxa" w:w="55"/>
            </w:tcMar>
          </w:tcPr>
          <w:p>
            <w:pPr>
              <w:pStyle w:val="style21"/>
            </w:pPr>
            <w:r>
              <w:rPr>
                <w:sz w:val="20"/>
                <w:szCs w:val="20"/>
              </w:rPr>
              <w:t xml:space="preserve">программа Союза 17 октября предусматривала и “принудительное отчуждение” части частновладельческих земель с обязательным вознаграждением владельцев. Выкупить землю, подчеркивали октябристы, обращаясь к крестьянам, “надо по справедливой оценке и без ущерба для помещичьего хозяйства. Даром же отбирать землю нельзя, это несправедливо, да и к добру не поведет”. </w:t>
              <w:br/>
              <w:t xml:space="preserve">     Основной акцент в октябристской аграрной программе, однако, был сделан не на земельном, а на хозяйственно-правовых вопросах. Октябристы считали необходимым уравнять крестьян в правах с остальными гражданами путем отмены всех законов, юридически принижавших податные сословия, а главное – административной опеки над ними; ликвидировать общину и осуществить ряд мер для улучшения экономического положения крестьян (развитие сельскохозяйственного кредита, широкое внедрение агрономических знаний, распространение кустарных промыслов и т.д.). </w:t>
              <w:br/>
              <w:t xml:space="preserve">     Таким образом, в решении аграрного вопроса октябристы шли в русле столыпинской аграрной политики. Однако в отличие от П.А.Столыпина, делавшего основную ставку на сравнительно узкий слой “крепких и сильных” крестьян, октябристы рассчитывали на то, что им удастся в относительно короткий срок создать широкий слой зажиточного крестьянства, которое и должно было стать массовой опорой режима. </w:t>
              <w:br/>
              <w:t xml:space="preserve">     Подчеркнутая приземленность, практицизм и выдвижение на первый план сравнительно второстепенных вопросов были характерны не только для аграрно-крестьянского раздела программы Союза 17 октября, но и для раздела, касавшегося положения рабочих. Так, в вопросе о продолжительности рабочего дня позиция октябристов была отмечена стремлением защитить интересы русской промышленности. В программе Союза этот вопрос трактовался в весьма общем виде: речь здесь шла о необходимости “нормировки” предельной продолжительности рабочего времени и об “урегулировании” сверхурочных работ. Расшифровка этого программного положения содержалась в октябристской литературе. “Наш союз, – указывалось в одной из брошюр В.М.Петрово-Соловово, – конечно, будет приветствовать сокращение рабочего дня, поскольку оно допустимо без ущерба промышленности и торговле, но не настаивает... категорически... на 8–часовом рабочем дне”. Обосновывая этот тезис, октябристы резонно отмечали, что в условиях технической отсталости России, а также огромного (по сравнению с Западной Европой) количества религиозных праздников, сокращение рабочего дня до европейского уровня будет иметь следствием резкое удорожание, а значит, и неконкурентноспособность русских товаров. </w:t>
              <w:br/>
              <w:t xml:space="preserve">     Заключительные разделы октябристской программы были посвящены вопросам народного образования, реформе суда и системы местного административного управления и самоуправления, мерам в области экономики и финансов, проблемам реформирования Церкви. </w:t>
              <w:br/>
              <w:t xml:space="preserve">     “Политическая и гражданская свобода, провозглашенная Манифестом 17 октября, – отмечалось в послесловии к программе, – должна пробудить к жизни дремлющие народные силы, вызвать дух смелой энергии и предприимчивости, дух самодеятельности и самопомощи и тем самым создать прочную основу и лучший залог нравственного возрождения”. Выраженный здесь оптимизм довольно резко диссонировал с робкими и умеренными попытками решить коренные вопросы российской действительности в праволиберальном духе. </w:t>
            </w:r>
          </w:p>
        </w:tc>
      </w:tr>
    </w:tbl>
    <w:p>
      <w:pPr>
        <w:pStyle w:val="style0"/>
      </w:pPr>
      <w:r>
        <w:rPr/>
        <w:t>Партия Социалистов-революционеров(Эсеров)</w:t>
      </w:r>
    </w:p>
    <w:tbl>
      <w:tblPr>
        <w:tblW w:type="dxa" w:w="9638"/>
        <w:tblBorders>
          <w:top w:color="000000" w:space="0" w:sz="2" w:val="single"/>
          <w:left w:color="000000" w:space="0" w:sz="2" w:val="single"/>
          <w:bottom w:color="000000" w:space="0" w:sz="2" w:val="single"/>
        </w:tblBorders>
        <w:jc w:val="left"/>
      </w:tblPr>
      <w:tblGrid>
        <w:gridCol w:w="2409"/>
        <w:gridCol w:w="4819"/>
        <w:gridCol w:w="7228"/>
        <w:gridCol w:w="9638"/>
      </w:tblGrid>
      <w:tr>
        <w:trPr>
          <w:cantSplit w:val="off"/>
        </w:trPr>
        <w:tc>
          <w:tcPr>
            <w:tcBorders>
              <w:top w:color="000000" w:space="0" w:sz="2" w:val="single"/>
              <w:left w:color="000000" w:space="0" w:sz="2" w:val="single"/>
              <w:bottom w:color="000000" w:space="0" w:sz="2" w:val="single"/>
            </w:tcBorders>
            <w:shd w:fill="auto"/>
            <w:tcW w:type="dxa" w:w="2409"/>
            <w:tcMar>
              <w:top w:type="dxa" w:w="55"/>
              <w:left w:type="dxa" w:w="55"/>
              <w:bottom w:type="dxa" w:w="55"/>
              <w:right w:type="dxa" w:w="55"/>
            </w:tcMar>
          </w:tcPr>
          <w:p>
            <w:pPr>
              <w:pStyle w:val="style21"/>
            </w:pPr>
            <w:r>
              <w:rPr/>
              <w:t>Лето 1900</w:t>
            </w:r>
          </w:p>
        </w:tc>
        <w:tc>
          <w:tcPr>
            <w:tcBorders>
              <w:top w:color="000000" w:space="0" w:sz="2" w:val="single"/>
              <w:left w:color="000000" w:space="0" w:sz="2" w:val="single"/>
              <w:bottom w:color="000000" w:space="0" w:sz="2" w:val="single"/>
            </w:tcBorders>
            <w:shd w:fill="auto"/>
            <w:tcW w:type="dxa" w:w="4819"/>
            <w:tcMar>
              <w:top w:type="dxa" w:w="55"/>
              <w:left w:type="dxa" w:w="55"/>
              <w:bottom w:type="dxa" w:w="55"/>
              <w:right w:type="dxa" w:w="55"/>
            </w:tcMar>
          </w:tcPr>
          <w:p>
            <w:pPr>
              <w:pStyle w:val="style21"/>
            </w:pPr>
            <w:bookmarkStart w:id="0" w:name="__DdeLink__10_828653162"/>
            <w:bookmarkEnd w:id="0"/>
            <w:r>
              <w:rPr/>
              <w:t>В.М Чернов, Г.А Гершун, М.Р Гоц</w:t>
            </w:r>
          </w:p>
        </w:tc>
        <w:tc>
          <w:tcPr>
            <w:tcBorders>
              <w:top w:color="000000" w:space="0" w:sz="2" w:val="single"/>
              <w:left w:color="000000" w:space="0" w:sz="2" w:val="single"/>
              <w:bottom w:color="000000" w:space="0" w:sz="2" w:val="single"/>
            </w:tcBorders>
            <w:shd w:fill="auto"/>
            <w:tcW w:type="dxa" w:w="7228"/>
            <w:tcMar>
              <w:top w:type="dxa" w:w="55"/>
              <w:left w:type="dxa" w:w="55"/>
              <w:bottom w:type="dxa" w:w="55"/>
              <w:right w:type="dxa" w:w="55"/>
            </w:tcMar>
          </w:tcPr>
          <w:p>
            <w:pPr>
              <w:pStyle w:val="style21"/>
            </w:pPr>
            <w:r>
              <w:rPr/>
              <w:t>В.М Чернов, Г.А Гершун, М.Р Гоц Е.К Бершко-Бершковская, П.П Крафт, Л.М Клячко, П.Д Авксентье, В.М Зензинов, Н.В Чайковский и др.</w:t>
            </w:r>
          </w:p>
        </w:tc>
        <w:tc>
          <w:tcPr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color="000000" w:space="0" w:sz="2" w:val="single"/>
            </w:tcBorders>
            <w:shd w:fill="auto"/>
            <w:tcW w:type="dxa" w:w="9638"/>
            <w:tcMar>
              <w:top w:type="dxa" w:w="55"/>
              <w:left w:type="dxa" w:w="55"/>
              <w:bottom w:type="dxa" w:w="55"/>
              <w:right w:type="dxa" w:w="55"/>
            </w:tcMar>
          </w:tcPr>
          <w:p>
            <w:pPr>
              <w:pStyle w:val="style17"/>
            </w:pPr>
            <w:r>
              <w:rPr>
                <w:sz w:val="20"/>
                <w:szCs w:val="20"/>
              </w:rPr>
              <w:t xml:space="preserve">Проект программы партии был опубликован в мае </w:t>
            </w:r>
            <w:hyperlink r:id="rId5">
              <w:r>
                <w:rPr>
                  <w:sz w:val="20"/>
                  <w:szCs w:val="20"/>
                  <w:rStyle w:val="style15"/>
                </w:rPr>
                <w:t>1904</w:t>
              </w:r>
            </w:hyperlink>
            <w:r>
              <w:rPr>
                <w:sz w:val="20"/>
                <w:szCs w:val="20"/>
              </w:rPr>
              <w:t xml:space="preserve"> г. в № 46 </w:t>
            </w:r>
            <w:hyperlink r:id="rId6">
              <w:r>
                <w:rPr>
                  <w:sz w:val="20"/>
                  <w:szCs w:val="20"/>
                  <w:rStyle w:val="style15"/>
                </w:rPr>
                <w:t>«Революционной России»</w:t>
              </w:r>
            </w:hyperlink>
            <w:r>
              <w:rPr>
                <w:sz w:val="20"/>
                <w:szCs w:val="20"/>
              </w:rPr>
              <w:t xml:space="preserve">. Проект с незначительными изменениями был утвержден в качестве программы партии на её первом съезде в начале января </w:t>
            </w:r>
            <w:hyperlink r:id="rId7">
              <w:r>
                <w:rPr>
                  <w:sz w:val="20"/>
                  <w:szCs w:val="20"/>
                  <w:rStyle w:val="style15"/>
                </w:rPr>
                <w:t>1906 года</w:t>
              </w:r>
            </w:hyperlink>
            <w:r>
              <w:rPr>
                <w:sz w:val="20"/>
                <w:szCs w:val="20"/>
              </w:rPr>
              <w:t xml:space="preserve">. Эта программа оставалась главным документом партии на протяжении всего её существования. Основным автором программы был главный теоретик партии </w:t>
            </w:r>
            <w:hyperlink r:id="rId8">
              <w:r>
                <w:rPr>
                  <w:sz w:val="20"/>
                  <w:szCs w:val="20"/>
                  <w:rStyle w:val="style15"/>
                </w:rPr>
                <w:t>В. М. Чернов</w:t>
              </w:r>
            </w:hyperlink>
            <w:r>
              <w:rPr>
                <w:sz w:val="20"/>
                <w:szCs w:val="20"/>
              </w:rPr>
              <w:t>.</w:t>
            </w:r>
          </w:p>
          <w:p>
            <w:pPr>
              <w:pStyle w:val="style17"/>
            </w:pPr>
            <w:r>
              <w:rPr>
                <w:sz w:val="20"/>
                <w:szCs w:val="20"/>
              </w:rPr>
              <w:t xml:space="preserve">Эсеры являлись прямыми наследниками старого </w:t>
            </w:r>
            <w:hyperlink r:id="rId9">
              <w:r>
                <w:rPr>
                  <w:sz w:val="20"/>
                  <w:szCs w:val="20"/>
                  <w:rStyle w:val="style15"/>
                </w:rPr>
                <w:t>народничества</w:t>
              </w:r>
            </w:hyperlink>
            <w:r>
              <w:rPr>
                <w:sz w:val="20"/>
                <w:szCs w:val="20"/>
              </w:rPr>
              <w:t xml:space="preserve">, сущность которого составляла идея о возможности перехода России к </w:t>
            </w:r>
            <w:hyperlink r:id="rId10">
              <w:r>
                <w:rPr>
                  <w:sz w:val="20"/>
                  <w:szCs w:val="20"/>
                  <w:rStyle w:val="style15"/>
                </w:rPr>
                <w:t>социализму</w:t>
              </w:r>
            </w:hyperlink>
            <w:r>
              <w:rPr>
                <w:sz w:val="20"/>
                <w:szCs w:val="20"/>
              </w:rPr>
              <w:t xml:space="preserve"> некапиталистическим путём. Но эсеры были сторонниками </w:t>
            </w:r>
            <w:hyperlink r:id="rId11">
              <w:r>
                <w:rPr>
                  <w:sz w:val="20"/>
                  <w:szCs w:val="20"/>
                  <w:rStyle w:val="style15"/>
                </w:rPr>
                <w:t>демократического социализма</w:t>
              </w:r>
            </w:hyperlink>
            <w:r>
              <w:rPr>
                <w:sz w:val="20"/>
                <w:szCs w:val="20"/>
              </w:rPr>
              <w:t>, то есть хозяйственной и политической демократии, которая должна была выражаться через представительство организованных производителей (</w:t>
            </w:r>
            <w:hyperlink r:id="rId12">
              <w:r>
                <w:rPr>
                  <w:sz w:val="20"/>
                  <w:szCs w:val="20"/>
                  <w:rStyle w:val="style15"/>
                </w:rPr>
                <w:t>профсоюзы</w:t>
              </w:r>
            </w:hyperlink>
            <w:r>
              <w:rPr>
                <w:sz w:val="20"/>
                <w:szCs w:val="20"/>
              </w:rPr>
              <w:t>), организованных потребителей (кооперативные союзы) и организованных граждан (демократическое государство в лице парламента и органов самоуправления).</w:t>
            </w:r>
          </w:p>
          <w:p>
            <w:pPr>
              <w:pStyle w:val="style17"/>
            </w:pPr>
            <w:r>
              <w:rPr>
                <w:sz w:val="20"/>
                <w:szCs w:val="20"/>
              </w:rPr>
              <w:t>Оригинальность эсеровского социализма заключалась в теории социализации земледелия. Эта теория составляла национальную особенность эсеровского демократического социализма и являлась вкладом в сокровищницу мировой социалистической мысли. Исходная идея этой теории заключалась в том, что социализм в России должен начать произрастать раньше всего в деревне. Почвой для него, его предварительной стадией, должна была стать социализация земли.</w:t>
            </w:r>
          </w:p>
          <w:p>
            <w:pPr>
              <w:pStyle w:val="style17"/>
            </w:pPr>
            <w:r>
              <w:rPr>
                <w:sz w:val="20"/>
                <w:szCs w:val="20"/>
              </w:rPr>
              <w:t>Социализация земли означала, во-первых, отмену частной собственности на землю, вместе с тем не превращение её в государственную собственность, не её национализацию, а превращение в общенародное достояние без права купли-продажи. Во-вторых, переход всей земли в заведование центральных и местных органов народного самоуправления, начиная от демократически организованных сельских и городских общин и кончая областными и центральными учреждениями. В-третьих, пользование землёй должно было быть уравнительно-трудовым, то есть обеспечивать потребительную норму на основании приложения собственного труда, единоличного или в товариществе.</w:t>
            </w:r>
          </w:p>
          <w:p>
            <w:pPr>
              <w:pStyle w:val="style17"/>
            </w:pPr>
            <w:r>
              <w:rPr>
                <w:sz w:val="20"/>
                <w:szCs w:val="20"/>
              </w:rPr>
              <w:t xml:space="preserve">Важнейшей предпосылкой для социализма и органической его формой эсеры считали политическую свободу и </w:t>
            </w:r>
            <w:hyperlink r:id="rId13">
              <w:r>
                <w:rPr>
                  <w:sz w:val="20"/>
                  <w:szCs w:val="20"/>
                  <w:rStyle w:val="style15"/>
                </w:rPr>
                <w:t>демократию</w:t>
              </w:r>
            </w:hyperlink>
            <w:r>
              <w:rPr>
                <w:sz w:val="20"/>
                <w:szCs w:val="20"/>
              </w:rPr>
              <w:t xml:space="preserve">. Политическая демократия и социализация земли были основными требованиями эсеровской программы-минимум. Они должны были обеспечить мирный, эволюционный, без особой, социалистической, революции переход России к социализму. В программе, в частности, говорилось об установлении демократической </w:t>
            </w:r>
            <w:hyperlink r:id="rId14">
              <w:r>
                <w:rPr>
                  <w:sz w:val="20"/>
                  <w:szCs w:val="20"/>
                  <w:rStyle w:val="style15"/>
                </w:rPr>
                <w:t>республики</w:t>
              </w:r>
            </w:hyperlink>
            <w:r>
              <w:rPr>
                <w:sz w:val="20"/>
                <w:szCs w:val="20"/>
              </w:rPr>
              <w:t xml:space="preserve"> с неотъемлемыми правами человека и </w:t>
            </w:r>
            <w:hyperlink r:id="rId15">
              <w:r>
                <w:rPr>
                  <w:sz w:val="20"/>
                  <w:szCs w:val="20"/>
                  <w:rStyle w:val="style15"/>
                </w:rPr>
                <w:t>гражданина</w:t>
              </w:r>
            </w:hyperlink>
            <w:r>
              <w:rPr>
                <w:sz w:val="20"/>
                <w:szCs w:val="20"/>
              </w:rPr>
              <w:t xml:space="preserve">: </w:t>
            </w:r>
            <w:hyperlink r:id="rId16">
              <w:r>
                <w:rPr>
                  <w:sz w:val="20"/>
                  <w:szCs w:val="20"/>
                  <w:rStyle w:val="style15"/>
                </w:rPr>
                <w:t>свобода совести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17">
              <w:r>
                <w:rPr>
                  <w:sz w:val="20"/>
                  <w:szCs w:val="20"/>
                  <w:rStyle w:val="style15"/>
                </w:rPr>
                <w:t>слова</w:t>
              </w:r>
            </w:hyperlink>
            <w:r>
              <w:rPr>
                <w:sz w:val="20"/>
                <w:szCs w:val="20"/>
              </w:rPr>
              <w:t xml:space="preserve">, печати, </w:t>
            </w:r>
            <w:hyperlink r:id="rId18">
              <w:r>
                <w:rPr>
                  <w:sz w:val="20"/>
                  <w:szCs w:val="20"/>
                  <w:rStyle w:val="style15"/>
                </w:rPr>
                <w:t>собраний</w:t>
              </w:r>
            </w:hyperlink>
            <w:r>
              <w:rPr>
                <w:sz w:val="20"/>
                <w:szCs w:val="20"/>
              </w:rPr>
              <w:t xml:space="preserve">, союзов, стачек, </w:t>
            </w:r>
            <w:hyperlink r:id="rId19">
              <w:r>
                <w:rPr>
                  <w:sz w:val="20"/>
                  <w:szCs w:val="20"/>
                  <w:rStyle w:val="style15"/>
                </w:rPr>
                <w:t>неприкосновенность личности</w:t>
              </w:r>
            </w:hyperlink>
            <w:r>
              <w:rPr>
                <w:sz w:val="20"/>
                <w:szCs w:val="20"/>
              </w:rPr>
              <w:t xml:space="preserve"> и жилища, всеобщее и равное </w:t>
            </w:r>
            <w:hyperlink r:id="rId20">
              <w:r>
                <w:rPr>
                  <w:sz w:val="20"/>
                  <w:szCs w:val="20"/>
                  <w:rStyle w:val="style15"/>
                </w:rPr>
                <w:t>избирательное право</w:t>
              </w:r>
            </w:hyperlink>
            <w:r>
              <w:rPr>
                <w:sz w:val="20"/>
                <w:szCs w:val="20"/>
              </w:rPr>
              <w:t xml:space="preserve"> для всякого гражданина с 20 лет, без различия пола, религии и национальности, при условии прямой системы выборов и закрытой подачи голосов. Требовались также широкая </w:t>
            </w:r>
            <w:hyperlink r:id="rId21">
              <w:r>
                <w:rPr>
                  <w:sz w:val="20"/>
                  <w:szCs w:val="20"/>
                  <w:rStyle w:val="style15"/>
                </w:rPr>
                <w:t>автономия</w:t>
              </w:r>
            </w:hyperlink>
            <w:r>
              <w:rPr>
                <w:sz w:val="20"/>
                <w:szCs w:val="20"/>
              </w:rPr>
              <w:t xml:space="preserve"> для областей и общин как городских, так и сельских и возможно более широкое применение федеративных отношений между отдельными национальными регионами при признании за ними безусловного права на </w:t>
            </w:r>
            <w:hyperlink r:id="rId22">
              <w:r>
                <w:rPr>
                  <w:sz w:val="20"/>
                  <w:szCs w:val="20"/>
                  <w:rStyle w:val="style15"/>
                </w:rPr>
                <w:t>самоопределение</w:t>
              </w:r>
            </w:hyperlink>
            <w:r>
              <w:rPr>
                <w:sz w:val="20"/>
                <w:szCs w:val="20"/>
              </w:rPr>
              <w:t xml:space="preserve">. Эсеры раньше, чем </w:t>
            </w:r>
            <w:hyperlink r:id="rId23">
              <w:r>
                <w:rPr>
                  <w:sz w:val="20"/>
                  <w:szCs w:val="20"/>
                  <w:rStyle w:val="style15"/>
                </w:rPr>
                <w:t>социал-демократы</w:t>
              </w:r>
            </w:hyperlink>
            <w:r>
              <w:rPr>
                <w:sz w:val="20"/>
                <w:szCs w:val="20"/>
              </w:rPr>
              <w:t xml:space="preserve">, выдвинули требование </w:t>
            </w:r>
            <w:hyperlink r:id="rId24">
              <w:r>
                <w:rPr>
                  <w:sz w:val="20"/>
                  <w:szCs w:val="20"/>
                  <w:rStyle w:val="style15"/>
                </w:rPr>
                <w:t>федеративного устройства</w:t>
              </w:r>
            </w:hyperlink>
            <w:r>
              <w:rPr>
                <w:sz w:val="20"/>
                <w:szCs w:val="20"/>
              </w:rPr>
              <w:t xml:space="preserve"> Российского государства. Смелее и демократичнее они были и в постановке таких требований, как пропорциональное представительство в выборных органах и прямое народное законодательство (</w:t>
            </w:r>
            <w:hyperlink r:id="rId25">
              <w:r>
                <w:rPr>
                  <w:sz w:val="20"/>
                  <w:szCs w:val="20"/>
                  <w:rStyle w:val="style15"/>
                </w:rPr>
                <w:t>референдум</w:t>
              </w:r>
            </w:hyperlink>
            <w:r>
              <w:rPr>
                <w:sz w:val="20"/>
                <w:szCs w:val="20"/>
              </w:rPr>
              <w:t xml:space="preserve"> и инициатива).</w:t>
            </w:r>
          </w:p>
          <w:p>
            <w:pPr>
              <w:pStyle w:val="style17"/>
            </w:pPr>
            <w:r>
              <w:rPr>
                <w:sz w:val="20"/>
                <w:szCs w:val="20"/>
              </w:rPr>
              <w:t>Издания (на 1913 год): «Революционная Россия» (в 1902—1905 нелегально), «Народный вестник», «Мысль», «Сознательная Россия».</w:t>
            </w:r>
          </w:p>
          <w:p>
            <w:pPr>
              <w:pStyle w:val="style21"/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off"/>
        </w:trPr>
        <w:tc>
          <w:tcPr>
            <w:tcBorders>
              <w:left w:color="000000" w:space="0" w:sz="2" w:val="single"/>
              <w:bottom w:color="000000" w:space="0" w:sz="2" w:val="single"/>
            </w:tcBorders>
            <w:shd w:fill="auto"/>
            <w:tcW w:type="dxa" w:w="2409"/>
            <w:tcMar>
              <w:top w:type="dxa" w:w="55"/>
              <w:left w:type="dxa" w:w="55"/>
              <w:bottom w:type="dxa" w:w="55"/>
              <w:right w:type="dxa" w:w="55"/>
            </w:tcMar>
          </w:tcPr>
          <w:p>
            <w:pPr>
              <w:pStyle w:val="style21"/>
            </w:pPr>
            <w:r>
              <w:rPr/>
            </w:r>
          </w:p>
        </w:tc>
        <w:tc>
          <w:tcPr>
            <w:tcBorders>
              <w:left w:color="000000" w:space="0" w:sz="2" w:val="single"/>
              <w:bottom w:color="000000" w:space="0" w:sz="2" w:val="single"/>
            </w:tcBorders>
            <w:shd w:fill="auto"/>
            <w:tcW w:type="dxa" w:w="4819"/>
            <w:tcMar>
              <w:top w:type="dxa" w:w="55"/>
              <w:left w:type="dxa" w:w="55"/>
              <w:bottom w:type="dxa" w:w="55"/>
              <w:right w:type="dxa" w:w="55"/>
            </w:tcMar>
          </w:tcPr>
          <w:p>
            <w:pPr>
              <w:pStyle w:val="style21"/>
            </w:pPr>
            <w:r>
              <w:rPr/>
            </w:r>
          </w:p>
        </w:tc>
        <w:tc>
          <w:tcPr>
            <w:tcBorders>
              <w:left w:color="000000" w:space="0" w:sz="2" w:val="single"/>
              <w:bottom w:color="000000" w:space="0" w:sz="2" w:val="single"/>
            </w:tcBorders>
            <w:shd w:fill="auto"/>
            <w:tcW w:type="dxa" w:w="7228"/>
            <w:tcMar>
              <w:top w:type="dxa" w:w="55"/>
              <w:left w:type="dxa" w:w="55"/>
              <w:bottom w:type="dxa" w:w="55"/>
              <w:right w:type="dxa" w:w="55"/>
            </w:tcMar>
          </w:tcPr>
          <w:p>
            <w:pPr>
              <w:pStyle w:val="style21"/>
            </w:pPr>
            <w:r>
              <w:rPr/>
            </w:r>
          </w:p>
        </w:tc>
        <w:tc>
          <w:tcPr>
            <w:tcBorders>
              <w:left w:color="000000" w:space="0" w:sz="2" w:val="single"/>
              <w:bottom w:color="000000" w:space="0" w:sz="2" w:val="single"/>
              <w:right w:color="000000" w:space="0" w:sz="2" w:val="single"/>
            </w:tcBorders>
            <w:shd w:fill="auto"/>
            <w:tcW w:type="dxa" w:w="9638"/>
            <w:tcMar>
              <w:top w:type="dxa" w:w="55"/>
              <w:left w:type="dxa" w:w="55"/>
              <w:bottom w:type="dxa" w:w="55"/>
              <w:right w:type="dxa" w:w="55"/>
            </w:tcMar>
          </w:tcPr>
          <w:p>
            <w:pPr>
              <w:pStyle w:val="style21"/>
            </w:pPr>
            <w:r>
              <w:rPr/>
            </w:r>
          </w:p>
        </w:tc>
      </w:tr>
    </w:tbl>
    <w:p>
      <w:pPr>
        <w:pStyle w:val="style0"/>
      </w:pPr>
      <w:r>
        <w:rPr/>
      </w:r>
    </w:p>
    <w:sectPr>
      <w:formProt w:val="off"/>
      <w:pgSz w:h="16838" w:w="11906"/>
      <w:textDirection w:val="lrTb"/>
      <w:pgNumType w:fmt="decimal"/>
      <w:type w:val="nextPage"/>
      <w:pgMar w:bottom="1134" w:left="1134" w:right="1134" w:top="1134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</w:font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 w:val="off"/>
      <w:tabs>
        <w:tab w:leader="none" w:pos="709" w:val="left"/>
      </w:tabs>
      <w:suppressAutoHyphens w:val="true"/>
    </w:pPr>
    <w:rPr>
      <w:color w:val="auto"/>
      <w:sz w:val="24"/>
      <w:szCs w:val="24"/>
      <w:rFonts w:ascii="Times New Roman" w:cs="DejaVu Sans" w:eastAsia="DejaVu Sans" w:hAnsi="Times New Roman"/>
      <w:lang w:bidi="hi-IN" w:eastAsia="zh-CN" w:val="ru-RU"/>
    </w:rPr>
  </w:style>
  <w:style w:styleId="style15" w:type="character">
    <w:name w:val="Интернет-ссылка"/>
    <w:next w:val="style15"/>
    <w:rPr>
      <w:color w:val="000080"/>
      <w:u w:val="single"/>
      <w:lang w:bidi="ru-RU" w:eastAsia="ru-RU" w:val="ru-RU"/>
    </w:rPr>
  </w:style>
  <w:style w:styleId="style16" w:type="paragraph">
    <w:name w:val="Заголовок"/>
    <w:basedOn w:val="style0"/>
    <w:next w:val="style17"/>
    <w:pPr>
      <w:keepNext/>
      <w:spacing w:after="120" w:before="240"/>
    </w:pPr>
    <w:rPr>
      <w:sz w:val="28"/>
      <w:szCs w:val="28"/>
      <w:rFonts w:ascii="Arial" w:cs="DejaVu Sans" w:eastAsia="DejaVu Sans" w:hAnsi="Arial"/>
    </w:rPr>
  </w:style>
  <w:style w:styleId="style17" w:type="paragraph">
    <w:name w:val="Основной текст"/>
    <w:basedOn w:val="style0"/>
    <w:next w:val="style17"/>
    <w:pPr>
      <w:spacing w:after="120" w:before="0"/>
    </w:pPr>
    <w:rPr/>
  </w:style>
  <w:style w:styleId="style18" w:type="paragraph">
    <w:name w:val="Список"/>
    <w:basedOn w:val="style17"/>
    <w:next w:val="style18"/>
    <w:pPr/>
    <w:rPr/>
  </w:style>
  <w:style w:styleId="style19" w:type="paragraph">
    <w:name w:val="Название"/>
    <w:basedOn w:val="style0"/>
    <w:next w:val="style19"/>
    <w:pPr>
      <w:suppressLineNumbers/>
      <w:spacing w:after="120" w:before="120"/>
    </w:pPr>
    <w:rPr>
      <w:sz w:val="24"/>
      <w:i/>
      <w:szCs w:val="24"/>
      <w:iCs/>
    </w:rPr>
  </w:style>
  <w:style w:styleId="style20" w:type="paragraph">
    <w:name w:val="Указатель"/>
    <w:basedOn w:val="style0"/>
    <w:next w:val="style20"/>
    <w:pPr>
      <w:suppressLineNumbers/>
    </w:pPr>
    <w:rPr/>
  </w:style>
  <w:style w:styleId="style21" w:type="paragraph">
    <w:name w:val="Содержимое таблицы"/>
    <w:basedOn w:val="style0"/>
    <w:next w:val="style21"/>
    <w:pPr>
      <w:suppressLineNumbers/>
    </w:pPr>
    <w:rPr/>
  </w:style>
  <w:style w:styleId="style22" w:type="paragraph">
    <w:name w:val="Текст в заданном формате"/>
    <w:basedOn w:val="style0"/>
    <w:next w:val="style22"/>
    <w:pPr>
      <w:spacing w:after="0" w:before="0"/>
    </w:pPr>
    <w:rPr>
      <w:sz w:val="20"/>
      <w:szCs w:val="20"/>
      <w:rFonts w:ascii="DejaVu Sans Mono" w:cs="DejaVu Sans Mono" w:eastAsia="DejaVu Sans" w:hAnsi="DejaVu Sans Mono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his95.narod.ru/person/lenin.htm" TargetMode="External"/><Relationship Id="rId3" Type="http://schemas.openxmlformats.org/officeDocument/2006/relationships/hyperlink" Target="http://dic.academic.ru/dic.nsf/enc1p/28874" TargetMode="External"/><Relationship Id="rId4" Type="http://schemas.openxmlformats.org/officeDocument/2006/relationships/hyperlink" Target="http://dic.academic.ru/dic.nsf/enc1p/3958" TargetMode="External"/><Relationship Id="rId5" Type="http://schemas.openxmlformats.org/officeDocument/2006/relationships/hyperlink" Target="http://ru.wikipedia.org/wiki/1904" TargetMode="External"/><Relationship Id="rId6" Type="http://schemas.openxmlformats.org/officeDocument/2006/relationships/hyperlink" Target="http://ru.wikipedia.org/wiki/&#1056;&#1077;&#1074;&#1086;&#1083;&#1102;&#1094;&#1080;&#1086;&#1085;&#1085;&#1072;&#1103;_&#1056;&#1086;&#1089;&#1089;&#1080;&#1103;_(&#1075;&#1072;&#1079;&#1077;&#1090;&#1072;)" TargetMode="External"/><Relationship Id="rId7" Type="http://schemas.openxmlformats.org/officeDocument/2006/relationships/hyperlink" Target="http://ru.wikipedia.org/wiki/1906_&#1075;&#1086;&#1076;" TargetMode="External"/><Relationship Id="rId8" Type="http://schemas.openxmlformats.org/officeDocument/2006/relationships/hyperlink" Target="http://ru.wikipedia.org/wiki/&#1063;&#1077;&#1088;&#1085;&#1086;&#1074;,_&#1042;&#1080;&#1082;&#1090;&#1086;&#1088;_&#1052;&#1080;&#1093;&#1072;&#1081;&#1083;&#1086;&#1074;&#1080;&#1095;" TargetMode="External"/><Relationship Id="rId9" Type="http://schemas.openxmlformats.org/officeDocument/2006/relationships/hyperlink" Target="http://ru.wikipedia.org/wiki/&#1053;&#1072;&#1088;&#1086;&#1076;&#1085;&#1080;&#1095;&#1077;&#1089;&#1090;&#1074;&#1086;" TargetMode="External"/><Relationship Id="rId10" Type="http://schemas.openxmlformats.org/officeDocument/2006/relationships/hyperlink" Target="http://ru.wikipedia.org/wiki/&#1057;&#1086;&#1094;&#1080;&#1072;&#1083;&#1080;&#1079;&#1084;" TargetMode="External"/><Relationship Id="rId11" Type="http://schemas.openxmlformats.org/officeDocument/2006/relationships/hyperlink" Target="http://ru.wikipedia.org/wiki/&#1044;&#1077;&#1084;&#1086;&#1082;&#1088;&#1072;&#1090;&#1080;&#1095;&#1077;&#1089;&#1082;&#1080;&#1081;_&#1089;&#1086;&#1094;&#1080;&#1072;&#1083;&#1080;&#1079;&#1084;" TargetMode="External"/><Relationship Id="rId12" Type="http://schemas.openxmlformats.org/officeDocument/2006/relationships/hyperlink" Target="http://ru.wikipedia.org/wiki/&#1055;&#1088;&#1086;&#1092;&#1089;&#1086;&#1102;&#1079;&#1099;" TargetMode="External"/><Relationship Id="rId13" Type="http://schemas.openxmlformats.org/officeDocument/2006/relationships/hyperlink" Target="http://ru.wikipedia.org/wiki/&#1044;&#1077;&#1084;&#1086;&#1082;&#1088;&#1072;&#1090;&#1080;&#1103;" TargetMode="External"/><Relationship Id="rId14" Type="http://schemas.openxmlformats.org/officeDocument/2006/relationships/hyperlink" Target="http://ru.wikipedia.org/wiki/&#1056;&#1077;&#1089;&#1087;&#1091;&#1073;&#1083;&#1080;&#1082;&#1072;" TargetMode="External"/><Relationship Id="rId15" Type="http://schemas.openxmlformats.org/officeDocument/2006/relationships/hyperlink" Target="http://ru.wikipedia.org/wiki/&#1043;&#1088;&#1072;&#1078;&#1076;&#1072;&#1085;&#1080;&#1085;" TargetMode="External"/><Relationship Id="rId16" Type="http://schemas.openxmlformats.org/officeDocument/2006/relationships/hyperlink" Target="http://ru.wikipedia.org/wiki/&#1057;&#1074;&#1086;&#1073;&#1086;&#1076;&#1072;_&#1089;&#1086;&#1074;&#1077;&#1089;&#1090;&#1080;" TargetMode="External"/><Relationship Id="rId17" Type="http://schemas.openxmlformats.org/officeDocument/2006/relationships/hyperlink" Target="http://ru.wikipedia.org/wiki/&#1057;&#1074;&#1086;&#1073;&#1086;&#1076;&#1072;_&#1089;&#1083;&#1086;&#1074;&#1072;" TargetMode="External"/><Relationship Id="rId18" Type="http://schemas.openxmlformats.org/officeDocument/2006/relationships/hyperlink" Target="http://ru.wikipedia.org/wiki/&#1057;&#1074;&#1086;&#1073;&#1086;&#1076;&#1072;_&#1089;&#1086;&#1073;&#1088;&#1072;&#1085;&#1080;&#1081;" TargetMode="External"/><Relationship Id="rId19" Type="http://schemas.openxmlformats.org/officeDocument/2006/relationships/hyperlink" Target="http://ru.wikipedia.org/wiki/&#1053;&#1077;&#1087;&#1088;&#1080;&#1082;&#1086;&#1089;&#1085;&#1086;&#1074;&#1077;&#1085;&#1085;&#1086;&#1089;&#1090;&#1100;_&#1083;&#1080;&#1095;&#1085;&#1086;&#1089;&#1090;&#1080;" TargetMode="External"/><Relationship Id="rId20" Type="http://schemas.openxmlformats.org/officeDocument/2006/relationships/hyperlink" Target="http://ru.wikipedia.org/wiki/&#1048;&#1079;&#1073;&#1080;&#1088;&#1072;&#1090;&#1077;&#1083;&#1100;&#1085;&#1086;&#1077;_&#1087;&#1088;&#1072;&#1074;&#1086;" TargetMode="External"/><Relationship Id="rId21" Type="http://schemas.openxmlformats.org/officeDocument/2006/relationships/hyperlink" Target="http://ru.wikipedia.org/wiki/&#1040;&#1074;&#1090;&#1086;&#1085;&#1086;&#1084;&#1080;&#1103;" TargetMode="External"/><Relationship Id="rId22" Type="http://schemas.openxmlformats.org/officeDocument/2006/relationships/hyperlink" Target="http://ru.wikipedia.org/wiki/&#1057;&#1072;&#1084;&#1086;&#1086;&#1087;&#1088;&#1077;&#1076;&#1077;&#1083;&#1077;&#1085;&#1080;&#1077;" TargetMode="External"/><Relationship Id="rId23" Type="http://schemas.openxmlformats.org/officeDocument/2006/relationships/hyperlink" Target="http://ru.wikipedia.org/wiki/&#1057;&#1086;&#1094;&#1080;&#1072;&#1083;-&#1076;&#1077;&#1084;&#1086;&#1082;&#1088;&#1072;&#1090;" TargetMode="External"/><Relationship Id="rId24" Type="http://schemas.openxmlformats.org/officeDocument/2006/relationships/hyperlink" Target="http://ru.wikipedia.org/wiki/&#1060;&#1077;&#1076;&#1077;&#1088;&#1072;&#1090;&#1080;&#1074;&#1085;&#1086;&#1077;_&#1091;&#1089;&#1090;&#1088;&#1086;&#1081;&#1089;&#1090;&#1074;&#1086;" TargetMode="External"/><Relationship Id="rId25" Type="http://schemas.openxmlformats.org/officeDocument/2006/relationships/hyperlink" Target="http://ru.wikipedia.org/wiki/&#1056;&#1077;&#1092;&#1077;&#1088;&#1077;&#1085;&#1076;&#1091;&#1084;" TargetMode="External"/><Relationship Id="rId26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260</TotalTime>
  <Application>OpenOffice.org/3.2$Linux OpenOffice.org_project/320m12$Build-9483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2010-12-08T22:23:11.00Z</dcterms:created>
  <dc:creator>Loner </dc:creator>
  <cp:lastModifiedBy>Loner </cp:lastModifiedBy>
  <dcterms:modified xsi:type="dcterms:W3CDTF">2010-12-08T23:20:36.00Z</dcterms:modified>
  <cp:revision>1</cp:revision>
</cp:coreProperties>
</file>